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5" w:name="_GoBack"/>
      <w:bookmarkEnd w:id="5"/>
      <w:bookmarkStart w:id="0" w:name="_Toc479540720"/>
      <w:bookmarkStart w:id="1" w:name="_Toc474418163"/>
      <w:bookmarkStart w:id="2" w:name="_Toc428401266"/>
      <w:bookmarkStart w:id="3" w:name="_Toc474418240"/>
      <w:bookmarkStart w:id="4" w:name="_Toc24152"/>
      <w:r>
        <w:rPr>
          <w:rFonts w:hint="eastAsia" w:ascii="宋体" w:hAnsi="宋体" w:cs="仿宋_GB2312"/>
          <w:sz w:val="32"/>
          <w:lang w:eastAsia="zh-CN"/>
        </w:rPr>
        <w:t>介入耗材</w:t>
      </w:r>
      <w:r>
        <w:rPr>
          <w:rFonts w:hint="eastAsia" w:ascii="宋体" w:hAnsi="宋体" w:cs="仿宋_GB2312"/>
          <w:sz w:val="32"/>
          <w:lang w:val="en-US" w:eastAsia="zh-CN"/>
        </w:rPr>
        <w:t>(第二批）</w:t>
      </w:r>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eastAsia="宋体" w:cs="仿宋_GB2312"/>
          <w:bCs/>
          <w:sz w:val="24"/>
          <w:szCs w:val="24"/>
          <w:u w:val="single"/>
          <w:lang w:eastAsia="zh-CN"/>
        </w:rPr>
        <w:t>介入耗材</w:t>
      </w:r>
      <w:r>
        <w:rPr>
          <w:rFonts w:hint="eastAsia" w:ascii="宋体" w:hAnsi="宋体" w:eastAsia="宋体" w:cs="仿宋_GB2312"/>
          <w:bCs/>
          <w:sz w:val="24"/>
          <w:szCs w:val="24"/>
          <w:u w:val="single"/>
          <w:lang w:val="en-US" w:eastAsia="zh-CN"/>
        </w:rPr>
        <w:t>(第二批）</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eastAsia="宋体" w:cs="仿宋_GB2312"/>
          <w:b/>
          <w:bCs/>
          <w:sz w:val="24"/>
          <w:szCs w:val="24"/>
          <w:lang w:eastAsia="zh-CN"/>
        </w:rPr>
        <w:t>介入耗材</w:t>
      </w:r>
      <w:r>
        <w:rPr>
          <w:rFonts w:hint="eastAsia" w:ascii="宋体" w:hAnsi="宋体" w:eastAsia="宋体" w:cs="仿宋_GB2312"/>
          <w:b/>
          <w:bCs/>
          <w:sz w:val="24"/>
          <w:szCs w:val="24"/>
          <w:lang w:val="en-US" w:eastAsia="zh-CN"/>
        </w:rPr>
        <w:t>(第二批）</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4</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w:t>
      </w:r>
      <w:r>
        <w:rPr>
          <w:rFonts w:hint="eastAsia" w:ascii="宋体" w:hAnsi="宋体" w:cs="仿宋_GB2312"/>
          <w:sz w:val="24"/>
          <w:szCs w:val="24"/>
          <w:lang w:val="zh-CN"/>
        </w:rPr>
        <w:t>资格预审申请</w:t>
      </w:r>
      <w:r>
        <w:rPr>
          <w:rFonts w:hint="eastAsia" w:ascii="宋体" w:hAnsi="宋体" w:eastAsia="宋体" w:cs="仿宋_GB2312"/>
          <w:sz w:val="24"/>
          <w:szCs w:val="24"/>
          <w:lang w:val="zh-CN"/>
        </w:rPr>
        <w:t>。</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六</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13</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七、联系方式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jc w:val="right"/>
        <w:rPr>
          <w:rFonts w:hint="eastAsia" w:ascii="宋体" w:hAnsi="宋体" w:cs="仿宋_GB2312"/>
          <w:kern w:val="48"/>
          <w:sz w:val="24"/>
          <w:szCs w:val="24"/>
        </w:rPr>
      </w:pPr>
    </w:p>
    <w:p>
      <w:pPr>
        <w:spacing w:line="360" w:lineRule="auto"/>
        <w:ind w:firstLine="5520" w:firstLineChars="23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306070</wp:posOffset>
            </wp:positionH>
            <wp:positionV relativeFrom="paragraph">
              <wp:posOffset>36830</wp:posOffset>
            </wp:positionV>
            <wp:extent cx="1181735" cy="976630"/>
            <wp:effectExtent l="0" t="0" r="18415" b="13970"/>
            <wp:wrapNone/>
            <wp:docPr id="1" name="图片 2" descr="qrcode_for_gh_14406b9e02ae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14406b9e02ae_258"/>
                    <pic:cNvPicPr>
                      <a:picLocks noChangeAspect="1"/>
                    </pic:cNvPicPr>
                  </pic:nvPicPr>
                  <pic:blipFill>
                    <a:blip r:embed="rId4"/>
                    <a:stretch>
                      <a:fillRect/>
                    </a:stretch>
                  </pic:blipFill>
                  <pic:spPr>
                    <a:xfrm>
                      <a:off x="0" y="0"/>
                      <a:ext cx="1181735"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6000" w:firstLineChars="25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w:t>
      </w:r>
      <w:r>
        <w:rPr>
          <w:rFonts w:hint="eastAsia" w:ascii="宋体" w:hAnsi="宋体" w:eastAsia="宋体" w:cs="仿宋_GB2312"/>
          <w:sz w:val="24"/>
          <w:szCs w:val="24"/>
          <w:lang w:val="zh-CN"/>
        </w:rPr>
        <w:t>日</w:t>
      </w: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33205"/>
    <w:rsid w:val="10534269"/>
    <w:rsid w:val="203B1037"/>
    <w:rsid w:val="254D68BB"/>
    <w:rsid w:val="2E430EA3"/>
    <w:rsid w:val="4D087CD4"/>
    <w:rsid w:val="5CB57797"/>
    <w:rsid w:val="5F3065B9"/>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赟</cp:lastModifiedBy>
  <dcterms:modified xsi:type="dcterms:W3CDTF">2021-09-06T03:23:28Z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99F97D7EC0BB4C9282B1FD312B696804</vt:lpwstr>
  </property>
</Properties>
</file>